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b/>
          <w:color w:val="333333"/>
          <w:sz w:val="28"/>
          <w:szCs w:val="20"/>
          <w:highlight w:val="white"/>
          <w:lang w:eastAsia="ru-RU"/>
        </w:rPr>
        <w:t>О новом способе мошенничества, совершаемого с использованием информационно-телекоммуникационных технологий</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333333"/>
          <w:sz w:val="28"/>
          <w:szCs w:val="20"/>
          <w:lang w:eastAsia="ru-RU"/>
        </w:rPr>
        <w:t xml:space="preserve">В связи с тем, что потенциальные жертвы </w:t>
      </w:r>
      <w:proofErr w:type="spellStart"/>
      <w:r w:rsidRPr="00E50FF8">
        <w:rPr>
          <w:rFonts w:ascii="Times New Roman" w:eastAsia="Times New Roman" w:hAnsi="Times New Roman" w:cs="Times New Roman"/>
          <w:color w:val="333333"/>
          <w:sz w:val="28"/>
          <w:szCs w:val="20"/>
          <w:lang w:eastAsia="ru-RU"/>
        </w:rPr>
        <w:t>кибермошенников</w:t>
      </w:r>
      <w:proofErr w:type="spellEnd"/>
      <w:r w:rsidRPr="00E50FF8">
        <w:rPr>
          <w:rFonts w:ascii="Times New Roman" w:eastAsia="Times New Roman" w:hAnsi="Times New Roman" w:cs="Times New Roman"/>
          <w:color w:val="333333"/>
          <w:sz w:val="28"/>
          <w:szCs w:val="20"/>
          <w:lang w:eastAsia="ru-RU"/>
        </w:rPr>
        <w:t xml:space="preserve"> все чаще осознают, что телефонный звонок поступает не от «службы безопасности банка», злоумышленники придумали новый способ связаться с владельцами банковских счетов.</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333333"/>
          <w:sz w:val="28"/>
          <w:szCs w:val="20"/>
          <w:lang w:eastAsia="ru-RU"/>
        </w:rPr>
        <w:t xml:space="preserve">Мошенники направляют письмо от имени популярного сервиса, предоставляющего услуги, </w:t>
      </w:r>
      <w:proofErr w:type="gramStart"/>
      <w:r w:rsidRPr="00E50FF8">
        <w:rPr>
          <w:rFonts w:ascii="Times New Roman" w:eastAsia="Times New Roman" w:hAnsi="Times New Roman" w:cs="Times New Roman"/>
          <w:color w:val="333333"/>
          <w:sz w:val="28"/>
          <w:szCs w:val="20"/>
          <w:lang w:eastAsia="ru-RU"/>
        </w:rPr>
        <w:t>например</w:t>
      </w:r>
      <w:proofErr w:type="gramEnd"/>
      <w:r w:rsidRPr="00E50FF8">
        <w:rPr>
          <w:rFonts w:ascii="Times New Roman" w:eastAsia="Times New Roman" w:hAnsi="Times New Roman" w:cs="Times New Roman"/>
          <w:color w:val="333333"/>
          <w:sz w:val="28"/>
          <w:szCs w:val="20"/>
          <w:lang w:eastAsia="ru-RU"/>
        </w:rPr>
        <w:t xml:space="preserve"> доступа к онлайн-кинотеатру. В письме указывается, что со счета человека скоро будет снята плата за подписку, поскольку пробный период ее использования заканчивается (даже если получатель никакой подписки не оформлял). Также в письме указано, что для отмены подписки необходимо позвонить по указанному номеру. В случае, если жертва сделает это, то на самом деле свяжется с подставным оператором контакт-центра «службы поддержки клиентов».</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333333"/>
          <w:sz w:val="28"/>
          <w:szCs w:val="20"/>
          <w:lang w:eastAsia="ru-RU"/>
        </w:rPr>
        <w:t>Далее по классической схеме так называемый «специалист» попытается выведать персональные данные лица, либо убедить собеседника установить на смартфон программу удаленного доступа – все под предлогом отмены платной подписки.</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333333"/>
          <w:sz w:val="28"/>
          <w:szCs w:val="20"/>
          <w:lang w:eastAsia="ru-RU"/>
        </w:rPr>
        <w:t>Впоследствии, используя полученные данные, злоумышленник получает доступ к банку-онлайн либо к банковскому счету и совершает незаконные операции, направленные на хищение денежных средств.</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roofErr w:type="spellStart"/>
      <w:r w:rsidRPr="00E50FF8">
        <w:rPr>
          <w:rFonts w:ascii="Times New Roman" w:eastAsia="Times New Roman" w:hAnsi="Times New Roman" w:cs="Times New Roman"/>
          <w:color w:val="333333"/>
          <w:sz w:val="28"/>
          <w:szCs w:val="20"/>
          <w:lang w:eastAsia="ru-RU"/>
        </w:rPr>
        <w:t>Прокуратурарайона</w:t>
      </w:r>
      <w:proofErr w:type="spellEnd"/>
      <w:r w:rsidRPr="00E50FF8">
        <w:rPr>
          <w:rFonts w:ascii="Times New Roman" w:eastAsia="Times New Roman" w:hAnsi="Times New Roman" w:cs="Times New Roman"/>
          <w:color w:val="333333"/>
          <w:sz w:val="28"/>
          <w:szCs w:val="20"/>
          <w:lang w:eastAsia="ru-RU"/>
        </w:rPr>
        <w:t xml:space="preserve"> предупреждает, запоминайте какие подписки оформляете, при получении писем от незнакомых адресатов, отнеситесь к ним с подозрением – проверьте адрес, ошибки, несоответствие дизайну и тексту. </w:t>
      </w: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r w:rsidRPr="00E50FF8">
        <w:rPr>
          <w:rFonts w:ascii="Times New Roman" w:eastAsia="Times New Roman" w:hAnsi="Times New Roman" w:cs="Times New Roman"/>
          <w:color w:val="333333"/>
          <w:sz w:val="28"/>
          <w:szCs w:val="20"/>
          <w:lang w:eastAsia="ru-RU"/>
        </w:rPr>
        <w:t>В случае, если желаете выяснить подробности произошедшего, найдите в интернете самостоятельно телефон «горячей линии» и перепроверьте поступившую информацию.</w:t>
      </w: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Default="00E50FF8" w:rsidP="00E50FF8">
      <w:pPr>
        <w:spacing w:after="0" w:line="240" w:lineRule="auto"/>
        <w:ind w:firstLine="709"/>
        <w:jc w:val="both"/>
        <w:rPr>
          <w:rFonts w:ascii="Times New Roman" w:eastAsia="Times New Roman" w:hAnsi="Times New Roman" w:cs="Times New Roman"/>
          <w:color w:val="333333"/>
          <w:sz w:val="28"/>
          <w:szCs w:val="20"/>
          <w:lang w:eastAsia="ru-RU"/>
        </w:rPr>
      </w:pPr>
    </w:p>
    <w:p w:rsidR="00E50FF8" w:rsidRPr="00E50FF8" w:rsidRDefault="00E50FF8" w:rsidP="00E50FF8">
      <w:pPr>
        <w:spacing w:after="0" w:line="240" w:lineRule="auto"/>
        <w:ind w:left="709"/>
        <w:jc w:val="both"/>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lastRenderedPageBreak/>
        <w:t>Какими видами транспорта может управлять несовершеннолетний?</w:t>
      </w:r>
    </w:p>
    <w:p w:rsidR="00E50FF8" w:rsidRPr="00E50FF8" w:rsidRDefault="00E50FF8" w:rsidP="00E50FF8">
      <w:pPr>
        <w:spacing w:after="0" w:line="240" w:lineRule="auto"/>
        <w:ind w:left="709"/>
        <w:jc w:val="both"/>
        <w:rPr>
          <w:rFonts w:ascii="Times New Roman" w:eastAsia="Times New Roman" w:hAnsi="Times New Roman" w:cs="Times New Roman"/>
          <w:b/>
          <w:color w:val="0D0D0D"/>
          <w:sz w:val="28"/>
          <w:szCs w:val="20"/>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D0D0D"/>
          <w:sz w:val="28"/>
          <w:szCs w:val="20"/>
          <w:lang w:eastAsia="ru-RU"/>
        </w:rPr>
        <w:t xml:space="preserve">Федеральным законом от 10.12.1995 № 196-ФЗ «О безопасности дорожного движения» право на управление транспортными средствами предоставляется лицам, достигшим 16-летнего возраста, при условии сдачи квалификационного экзамена и предоставления медицинского заключения об отсутствии противопоказаний к управлению транспортными средствами категории «M» (мопеды и легкие </w:t>
      </w:r>
      <w:proofErr w:type="spellStart"/>
      <w:r w:rsidRPr="00E50FF8">
        <w:rPr>
          <w:rFonts w:ascii="Times New Roman" w:eastAsia="Times New Roman" w:hAnsi="Times New Roman" w:cs="Times New Roman"/>
          <w:color w:val="0D0D0D"/>
          <w:sz w:val="28"/>
          <w:szCs w:val="20"/>
          <w:lang w:eastAsia="ru-RU"/>
        </w:rPr>
        <w:t>квадроциклы</w:t>
      </w:r>
      <w:proofErr w:type="spellEnd"/>
      <w:r w:rsidRPr="00E50FF8">
        <w:rPr>
          <w:rFonts w:ascii="Times New Roman" w:eastAsia="Times New Roman" w:hAnsi="Times New Roman" w:cs="Times New Roman"/>
          <w:color w:val="0D0D0D"/>
          <w:sz w:val="28"/>
          <w:szCs w:val="20"/>
          <w:lang w:eastAsia="ru-RU"/>
        </w:rPr>
        <w:t>) и подкатегории «A1» (мотоциклы с рабочим объемом двигателя внутреннего сгорания, не превышающим 125 кубических сантиметров, и максимальной мощностью, не превышающей 11 киловатт).</w:t>
      </w:r>
    </w:p>
    <w:p w:rsidR="00E50FF8" w:rsidRPr="00E50FF8" w:rsidRDefault="00E50FF8" w:rsidP="00E50FF8">
      <w:pPr>
        <w:spacing w:after="0" w:line="240" w:lineRule="auto"/>
        <w:jc w:val="both"/>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 xml:space="preserve">Такие водители, </w:t>
      </w:r>
      <w:proofErr w:type="gramStart"/>
      <w:r w:rsidRPr="00E50FF8">
        <w:rPr>
          <w:rFonts w:ascii="Times New Roman" w:eastAsia="Times New Roman" w:hAnsi="Times New Roman" w:cs="Times New Roman"/>
          <w:color w:val="0D0D0D"/>
          <w:sz w:val="28"/>
          <w:szCs w:val="20"/>
          <w:lang w:eastAsia="ru-RU"/>
        </w:rPr>
        <w:t>также</w:t>
      </w:r>
      <w:proofErr w:type="gramEnd"/>
      <w:r w:rsidRPr="00E50FF8">
        <w:rPr>
          <w:rFonts w:ascii="Times New Roman" w:eastAsia="Times New Roman" w:hAnsi="Times New Roman" w:cs="Times New Roman"/>
          <w:color w:val="0D0D0D"/>
          <w:sz w:val="28"/>
          <w:szCs w:val="20"/>
          <w:lang w:eastAsia="ru-RU"/>
        </w:rPr>
        <w:t xml:space="preserve"> как и другие, обязаны соблюдать правила дорожного движения. Они несут ответственность за их нарушение, в том числе за вождение в состоянии алкогольного, наркотического опьянения, вождение неисправного транспортного средства, а также если сядут за руль в отсутствие права управления транспортным средством.</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0D0D0D"/>
          <w:sz w:val="28"/>
          <w:szCs w:val="20"/>
          <w:lang w:eastAsia="ru-RU"/>
        </w:rPr>
        <w:t>В некоторых случаях – дела об административных правонарушениях, свершенных несовершеннолетними водителями могут быть рассмотрены комиссией по делам несовершеннолетних и защите их прав.</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color w:val="0D0D0D"/>
          <w:sz w:val="28"/>
          <w:szCs w:val="20"/>
          <w:lang w:eastAsia="ru-RU"/>
        </w:rPr>
      </w:pPr>
      <w:hyperlink r:id="rId5" w:history="1">
        <w:r w:rsidRPr="00E50FF8">
          <w:rPr>
            <w:rFonts w:ascii="Times New Roman" w:eastAsia="Times New Roman" w:hAnsi="Times New Roman" w:cs="Times New Roman"/>
            <w:color w:val="0D0D0D"/>
            <w:sz w:val="28"/>
            <w:szCs w:val="20"/>
            <w:lang w:eastAsia="ru-RU"/>
          </w:rPr>
          <w:t xml:space="preserve">Снижены ставки по субсидируемым льготным кредитам для </w:t>
        </w:r>
        <w:proofErr w:type="spellStart"/>
        <w:r w:rsidRPr="00E50FF8">
          <w:rPr>
            <w:rFonts w:ascii="Times New Roman" w:eastAsia="Times New Roman" w:hAnsi="Times New Roman" w:cs="Times New Roman"/>
            <w:color w:val="0D0D0D"/>
            <w:sz w:val="28"/>
            <w:szCs w:val="20"/>
            <w:lang w:eastAsia="ru-RU"/>
          </w:rPr>
          <w:t>сельхозтоваропроизводителей</w:t>
        </w:r>
        <w:proofErr w:type="spellEnd"/>
      </w:hyperlink>
      <w:r w:rsidRPr="00E50FF8">
        <w:rPr>
          <w:rFonts w:ascii="Times New Roman" w:eastAsia="Times New Roman" w:hAnsi="Times New Roman" w:cs="Times New Roman"/>
          <w:color w:val="0D0D0D"/>
          <w:sz w:val="28"/>
          <w:szCs w:val="20"/>
          <w:lang w:eastAsia="ru-RU"/>
        </w:rPr>
        <w:t>.</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D0D0D"/>
          <w:sz w:val="28"/>
          <w:szCs w:val="20"/>
          <w:lang w:eastAsia="ru-RU"/>
        </w:rPr>
        <w:t>Льготную кредитную программу для фермеров, которые занимаются производством и переработкой сельхозпродукции, запустили в 2024 году.</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D0D0D"/>
          <w:sz w:val="28"/>
          <w:szCs w:val="20"/>
          <w:lang w:eastAsia="ru-RU"/>
        </w:rPr>
        <w:t>Благодаря ей аграрии могут взять льготный краткосрочный кредит на срок до 1 года и инвестиционный — на срок от 2 до 15 лет.</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D0D0D"/>
          <w:sz w:val="28"/>
          <w:szCs w:val="20"/>
          <w:lang w:eastAsia="ru-RU"/>
        </w:rPr>
        <w:t>Еще раньше — в 2023 году — была запущена другая программа льготного кредитования сельхозпроизводителей, согласно которой, предприниматели могут взять кредит по ставке до 5% на развитие растениеводства и животноводства.</w:t>
      </w: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r w:rsidRPr="00E50FF8">
        <w:rPr>
          <w:rFonts w:ascii="Times New Roman" w:eastAsia="Times New Roman" w:hAnsi="Times New Roman" w:cs="Times New Roman"/>
          <w:color w:val="0D0D0D"/>
          <w:sz w:val="28"/>
          <w:szCs w:val="20"/>
          <w:lang w:eastAsia="ru-RU"/>
        </w:rPr>
        <w:t>Правительство РФ запустило специальные кредитные программы для поддержки системообразующих организаций, которые оказались в тяжелой ситуации из-за введенных санкций. Относительно агропромышленного комплекса речь тогда шла о кредитах до 5 млрд руб. по льготной ставке 10% годовых на срок не более 12 месяцев.</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lastRenderedPageBreak/>
        <w:t>Прокуратура района информирует о</w:t>
      </w:r>
      <w:hyperlink r:id="rId6" w:history="1">
        <w:r w:rsidRPr="00E50FF8">
          <w:rPr>
            <w:rFonts w:ascii="Times New Roman" w:eastAsia="Times New Roman" w:hAnsi="Times New Roman" w:cs="Times New Roman"/>
            <w:color w:val="0D0D0D"/>
            <w:sz w:val="28"/>
            <w:szCs w:val="20"/>
            <w:lang w:eastAsia="ru-RU"/>
          </w:rPr>
          <w:t xml:space="preserve"> новом виде </w:t>
        </w:r>
        <w:proofErr w:type="spellStart"/>
        <w:r w:rsidRPr="00E50FF8">
          <w:rPr>
            <w:rFonts w:ascii="Times New Roman" w:eastAsia="Times New Roman" w:hAnsi="Times New Roman" w:cs="Times New Roman"/>
            <w:color w:val="0D0D0D"/>
            <w:sz w:val="28"/>
            <w:szCs w:val="20"/>
            <w:lang w:eastAsia="ru-RU"/>
          </w:rPr>
          <w:t>кибермошенничества</w:t>
        </w:r>
        <w:proofErr w:type="spellEnd"/>
        <w:r w:rsidRPr="00E50FF8">
          <w:rPr>
            <w:rFonts w:ascii="Times New Roman" w:eastAsia="Times New Roman" w:hAnsi="Times New Roman" w:cs="Times New Roman"/>
            <w:color w:val="0D0D0D"/>
            <w:sz w:val="28"/>
            <w:szCs w:val="20"/>
            <w:lang w:eastAsia="ru-RU"/>
          </w:rPr>
          <w:t>.</w:t>
        </w:r>
      </w:hyperlink>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 xml:space="preserve">Геополитический кризис оказался на руку мошенникам. </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В первые же дни после введения санкций против России и ЦБ РФ злоумышленники начали пытаться заработать на вводимых ограничениях.</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Схема не нова – жертве все так же предлагают перевести деньги на «безопасный счет», только мотивируют это тем, что так средства можно будет «спасти от потери после отключения России от системы международных переводов SWIFT».</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При этом виде мошенничества перевести деньги с банковской карты на подставные счета доверчивым гражданам предлагают не только по телефону, но и в социальных сетях.</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Злоумышленники активно пользуются приемом «полуправды» – приводят действительный указанный выше информационный повод.</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 xml:space="preserve">Кроме того, клиенты попавших под санкции банков могут испытывать затруднения с некоторыми операциями (например, оплата через </w:t>
      </w:r>
      <w:proofErr w:type="spellStart"/>
      <w:r w:rsidRPr="00E50FF8">
        <w:rPr>
          <w:rFonts w:ascii="Times New Roman" w:eastAsia="Times New Roman" w:hAnsi="Times New Roman" w:cs="Times New Roman"/>
          <w:color w:val="000000"/>
          <w:sz w:val="28"/>
          <w:szCs w:val="20"/>
          <w:lang w:eastAsia="ru-RU"/>
        </w:rPr>
        <w:t>Google</w:t>
      </w:r>
      <w:proofErr w:type="spellEnd"/>
      <w:r w:rsidRPr="00E50FF8">
        <w:rPr>
          <w:rFonts w:ascii="Times New Roman" w:eastAsia="Times New Roman" w:hAnsi="Times New Roman" w:cs="Times New Roman"/>
          <w:color w:val="000000"/>
          <w:sz w:val="28"/>
          <w:szCs w:val="20"/>
          <w:lang w:eastAsia="ru-RU"/>
        </w:rPr>
        <w:t> </w:t>
      </w:r>
      <w:proofErr w:type="spellStart"/>
      <w:r w:rsidRPr="00E50FF8">
        <w:rPr>
          <w:rFonts w:ascii="Times New Roman" w:eastAsia="Times New Roman" w:hAnsi="Times New Roman" w:cs="Times New Roman"/>
          <w:color w:val="000000"/>
          <w:sz w:val="28"/>
          <w:szCs w:val="20"/>
          <w:lang w:eastAsia="ru-RU"/>
        </w:rPr>
        <w:t>Pay</w:t>
      </w:r>
      <w:proofErr w:type="spellEnd"/>
      <w:r w:rsidRPr="00E50FF8">
        <w:rPr>
          <w:rFonts w:ascii="Times New Roman" w:eastAsia="Times New Roman" w:hAnsi="Times New Roman" w:cs="Times New Roman"/>
          <w:color w:val="000000"/>
          <w:sz w:val="28"/>
          <w:szCs w:val="20"/>
          <w:lang w:eastAsia="ru-RU"/>
        </w:rPr>
        <w:t xml:space="preserve">, </w:t>
      </w:r>
      <w:proofErr w:type="spellStart"/>
      <w:r w:rsidRPr="00E50FF8">
        <w:rPr>
          <w:rFonts w:ascii="Times New Roman" w:eastAsia="Times New Roman" w:hAnsi="Times New Roman" w:cs="Times New Roman"/>
          <w:color w:val="000000"/>
          <w:sz w:val="28"/>
          <w:szCs w:val="20"/>
          <w:lang w:eastAsia="ru-RU"/>
        </w:rPr>
        <w:t>Apple</w:t>
      </w:r>
      <w:proofErr w:type="spellEnd"/>
      <w:r w:rsidRPr="00E50FF8">
        <w:rPr>
          <w:rFonts w:ascii="Times New Roman" w:eastAsia="Times New Roman" w:hAnsi="Times New Roman" w:cs="Times New Roman"/>
          <w:color w:val="000000"/>
          <w:sz w:val="28"/>
          <w:szCs w:val="20"/>
          <w:lang w:eastAsia="ru-RU"/>
        </w:rPr>
        <w:t> </w:t>
      </w:r>
      <w:proofErr w:type="spellStart"/>
      <w:r w:rsidRPr="00E50FF8">
        <w:rPr>
          <w:rFonts w:ascii="Times New Roman" w:eastAsia="Times New Roman" w:hAnsi="Times New Roman" w:cs="Times New Roman"/>
          <w:color w:val="000000"/>
          <w:sz w:val="28"/>
          <w:szCs w:val="20"/>
          <w:lang w:eastAsia="ru-RU"/>
        </w:rPr>
        <w:t>Pay</w:t>
      </w:r>
      <w:proofErr w:type="spellEnd"/>
      <w:r w:rsidRPr="00E50FF8">
        <w:rPr>
          <w:rFonts w:ascii="Times New Roman" w:eastAsia="Times New Roman" w:hAnsi="Times New Roman" w:cs="Times New Roman"/>
          <w:color w:val="000000"/>
          <w:sz w:val="28"/>
          <w:szCs w:val="20"/>
          <w:lang w:eastAsia="ru-RU"/>
        </w:rPr>
        <w:t>), поэтому доверие к мошенническим звонкам и постам в социальных сетях возрастает.</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Будьте бдительны, не поддавайтесь на уловки мошенников</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168" w:lineRule="auto"/>
        <w:jc w:val="both"/>
        <w:rPr>
          <w:rFonts w:ascii="Times New Roman" w:eastAsia="Times New Roman" w:hAnsi="Times New Roman" w:cs="Times New Roman"/>
          <w:b/>
          <w:color w:val="000000"/>
          <w:sz w:val="28"/>
          <w:szCs w:val="20"/>
          <w:lang w:eastAsia="ru-RU"/>
        </w:rPr>
      </w:pPr>
      <w:r w:rsidRPr="00E50FF8">
        <w:rPr>
          <w:rFonts w:ascii="Times New Roman" w:eastAsia="Times New Roman" w:hAnsi="Times New Roman" w:cs="Times New Roman"/>
          <w:b/>
          <w:color w:val="000000"/>
          <w:sz w:val="28"/>
          <w:szCs w:val="20"/>
          <w:lang w:eastAsia="ru-RU"/>
        </w:rPr>
        <w:lastRenderedPageBreak/>
        <w:t xml:space="preserve">Прокуратура </w:t>
      </w:r>
      <w:proofErr w:type="spellStart"/>
      <w:r w:rsidRPr="00E50FF8">
        <w:rPr>
          <w:rFonts w:ascii="Times New Roman" w:eastAsia="Times New Roman" w:hAnsi="Times New Roman" w:cs="Times New Roman"/>
          <w:b/>
          <w:color w:val="000000"/>
          <w:sz w:val="28"/>
          <w:szCs w:val="20"/>
          <w:lang w:eastAsia="ru-RU"/>
        </w:rPr>
        <w:t>Новоалександровского</w:t>
      </w:r>
      <w:proofErr w:type="spellEnd"/>
      <w:r w:rsidRPr="00E50FF8">
        <w:rPr>
          <w:rFonts w:ascii="Times New Roman" w:eastAsia="Times New Roman" w:hAnsi="Times New Roman" w:cs="Times New Roman"/>
          <w:b/>
          <w:color w:val="000000"/>
          <w:sz w:val="28"/>
          <w:szCs w:val="20"/>
          <w:lang w:eastAsia="ru-RU"/>
        </w:rPr>
        <w:t xml:space="preserve"> района разъясняет </w:t>
      </w:r>
      <w:hyperlink r:id="rId7" w:history="1">
        <w:r w:rsidRPr="00E50FF8">
          <w:rPr>
            <w:rFonts w:ascii="Times New Roman" w:eastAsia="Times New Roman" w:hAnsi="Times New Roman" w:cs="Times New Roman"/>
            <w:b/>
            <w:color w:val="000000"/>
            <w:sz w:val="28"/>
            <w:szCs w:val="20"/>
            <w:lang w:eastAsia="ru-RU"/>
          </w:rPr>
          <w:t xml:space="preserve">о порядке получения технических средств реабилитации через </w:t>
        </w:r>
        <w:proofErr w:type="spellStart"/>
        <w:r w:rsidRPr="00E50FF8">
          <w:rPr>
            <w:rFonts w:ascii="Times New Roman" w:eastAsia="Times New Roman" w:hAnsi="Times New Roman" w:cs="Times New Roman"/>
            <w:b/>
            <w:color w:val="000000"/>
            <w:sz w:val="28"/>
            <w:szCs w:val="20"/>
            <w:lang w:eastAsia="ru-RU"/>
          </w:rPr>
          <w:t>Госуслуги</w:t>
        </w:r>
        <w:proofErr w:type="spellEnd"/>
        <w:r w:rsidRPr="00E50FF8">
          <w:rPr>
            <w:rFonts w:ascii="Times New Roman" w:eastAsia="Times New Roman" w:hAnsi="Times New Roman" w:cs="Times New Roman"/>
            <w:b/>
            <w:color w:val="000000"/>
            <w:sz w:val="28"/>
            <w:szCs w:val="20"/>
            <w:lang w:eastAsia="ru-RU"/>
          </w:rPr>
          <w:t>. </w:t>
        </w:r>
      </w:hyperlink>
    </w:p>
    <w:p w:rsidR="00E50FF8" w:rsidRPr="00E50FF8" w:rsidRDefault="00E50FF8" w:rsidP="00E50FF8">
      <w:pPr>
        <w:spacing w:after="0" w:line="168" w:lineRule="auto"/>
        <w:jc w:val="both"/>
        <w:rPr>
          <w:rFonts w:ascii="Times New Roman" w:eastAsia="Times New Roman" w:hAnsi="Times New Roman" w:cs="Times New Roman"/>
          <w:b/>
          <w:color w:val="000000"/>
          <w:sz w:val="28"/>
          <w:szCs w:val="20"/>
          <w:lang w:eastAsia="ru-RU"/>
        </w:rPr>
      </w:pPr>
    </w:p>
    <w:p w:rsidR="00E50FF8" w:rsidRPr="00E50FF8" w:rsidRDefault="00E50FF8" w:rsidP="00E50FF8">
      <w:pPr>
        <w:spacing w:after="0" w:line="168" w:lineRule="auto"/>
        <w:jc w:val="both"/>
        <w:rPr>
          <w:rFonts w:ascii="Times New Roman" w:eastAsia="Times New Roman" w:hAnsi="Times New Roman" w:cs="Times New Roman"/>
          <w:b/>
          <w:color w:val="000000"/>
          <w:sz w:val="28"/>
          <w:szCs w:val="20"/>
          <w:lang w:eastAsia="ru-RU"/>
        </w:rPr>
      </w:pPr>
      <w:r w:rsidRPr="00E50FF8">
        <w:rPr>
          <w:rFonts w:ascii="Times New Roman" w:eastAsia="Times New Roman" w:hAnsi="Times New Roman" w:cs="Times New Roman"/>
          <w:color w:val="000000"/>
          <w:sz w:val="28"/>
          <w:szCs w:val="20"/>
          <w:lang w:eastAsia="ru-RU"/>
        </w:rPr>
        <w:t xml:space="preserve">Люди с ограниченными возможностями </w:t>
      </w:r>
      <w:proofErr w:type="gramStart"/>
      <w:r w:rsidRPr="00E50FF8">
        <w:rPr>
          <w:rFonts w:ascii="Times New Roman" w:eastAsia="Times New Roman" w:hAnsi="Times New Roman" w:cs="Times New Roman"/>
          <w:color w:val="000000"/>
          <w:sz w:val="28"/>
          <w:szCs w:val="20"/>
          <w:lang w:eastAsia="ru-RU"/>
        </w:rPr>
        <w:t>здоровья  и</w:t>
      </w:r>
      <w:proofErr w:type="gramEnd"/>
      <w:r w:rsidRPr="00E50FF8">
        <w:rPr>
          <w:rFonts w:ascii="Times New Roman" w:eastAsia="Times New Roman" w:hAnsi="Times New Roman" w:cs="Times New Roman"/>
          <w:color w:val="000000"/>
          <w:sz w:val="28"/>
          <w:szCs w:val="20"/>
          <w:lang w:eastAsia="ru-RU"/>
        </w:rPr>
        <w:t xml:space="preserve"> ветераны имеют право на получение средств реабилитации бесплатно. При условии, что ТСР включены в ИПРА - индивидуальную программу реабилитации или </w:t>
      </w:r>
      <w:proofErr w:type="spellStart"/>
      <w:r w:rsidRPr="00E50FF8">
        <w:rPr>
          <w:rFonts w:ascii="Times New Roman" w:eastAsia="Times New Roman" w:hAnsi="Times New Roman" w:cs="Times New Roman"/>
          <w:color w:val="000000"/>
          <w:sz w:val="28"/>
          <w:szCs w:val="20"/>
          <w:lang w:eastAsia="ru-RU"/>
        </w:rPr>
        <w:t>абилитации</w:t>
      </w:r>
      <w:proofErr w:type="spellEnd"/>
      <w:r w:rsidRPr="00E50FF8">
        <w:rPr>
          <w:rFonts w:ascii="Times New Roman" w:eastAsia="Times New Roman" w:hAnsi="Times New Roman" w:cs="Times New Roman"/>
          <w:color w:val="000000"/>
          <w:sz w:val="28"/>
          <w:szCs w:val="20"/>
          <w:lang w:eastAsia="ru-RU"/>
        </w:rPr>
        <w:t>.</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 xml:space="preserve">Что могут получить люди с ограниченными возможностями здоровья на </w:t>
      </w:r>
      <w:proofErr w:type="spellStart"/>
      <w:r w:rsidRPr="00E50FF8">
        <w:rPr>
          <w:rFonts w:ascii="Times New Roman" w:eastAsia="Times New Roman" w:hAnsi="Times New Roman" w:cs="Times New Roman"/>
          <w:color w:val="000000"/>
          <w:sz w:val="28"/>
          <w:szCs w:val="20"/>
          <w:lang w:eastAsia="ru-RU"/>
        </w:rPr>
        <w:t>Госуслугах</w:t>
      </w:r>
      <w:proofErr w:type="spellEnd"/>
      <w:r w:rsidRPr="00E50FF8">
        <w:rPr>
          <w:rFonts w:ascii="Times New Roman" w:eastAsia="Times New Roman" w:hAnsi="Times New Roman" w:cs="Times New Roman"/>
          <w:color w:val="000000"/>
          <w:sz w:val="28"/>
          <w:szCs w:val="20"/>
          <w:lang w:eastAsia="ru-RU"/>
        </w:rPr>
        <w:t>:</w:t>
      </w:r>
    </w:p>
    <w:p w:rsidR="00E50FF8" w:rsidRPr="00E50FF8" w:rsidRDefault="00E50FF8" w:rsidP="00E50FF8">
      <w:pPr>
        <w:numPr>
          <w:ilvl w:val="0"/>
          <w:numId w:val="1"/>
        </w:numPr>
        <w:spacing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новые технические средства реабилитации или ремонт имеющихся;</w:t>
      </w:r>
    </w:p>
    <w:p w:rsidR="00E50FF8" w:rsidRPr="00E50FF8" w:rsidRDefault="00E50FF8" w:rsidP="00E50FF8">
      <w:pPr>
        <w:numPr>
          <w:ilvl w:val="0"/>
          <w:numId w:val="1"/>
        </w:numPr>
        <w:spacing w:before="150"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электронный сертификат для приобретения ТСР;</w:t>
      </w:r>
    </w:p>
    <w:p w:rsidR="00E50FF8" w:rsidRPr="00E50FF8" w:rsidRDefault="00E50FF8" w:rsidP="00E50FF8">
      <w:pPr>
        <w:numPr>
          <w:ilvl w:val="0"/>
          <w:numId w:val="1"/>
        </w:numPr>
        <w:spacing w:before="150" w:after="0" w:line="168" w:lineRule="auto"/>
        <w:jc w:val="both"/>
        <w:rPr>
          <w:rFonts w:ascii="Times New Roman" w:eastAsia="Times New Roman" w:hAnsi="Times New Roman" w:cs="Times New Roman"/>
          <w:color w:val="000000"/>
          <w:sz w:val="28"/>
          <w:szCs w:val="20"/>
          <w:lang w:eastAsia="ru-RU"/>
        </w:rPr>
      </w:pPr>
      <w:proofErr w:type="spellStart"/>
      <w:r w:rsidRPr="00E50FF8">
        <w:rPr>
          <w:rFonts w:ascii="Times New Roman" w:eastAsia="Times New Roman" w:hAnsi="Times New Roman" w:cs="Times New Roman"/>
          <w:color w:val="000000"/>
          <w:sz w:val="28"/>
          <w:szCs w:val="20"/>
          <w:lang w:eastAsia="ru-RU"/>
        </w:rPr>
        <w:t>сурдоперевод</w:t>
      </w:r>
      <w:proofErr w:type="spellEnd"/>
      <w:r w:rsidRPr="00E50FF8">
        <w:rPr>
          <w:rFonts w:ascii="Times New Roman" w:eastAsia="Times New Roman" w:hAnsi="Times New Roman" w:cs="Times New Roman"/>
          <w:color w:val="000000"/>
          <w:sz w:val="28"/>
          <w:szCs w:val="20"/>
          <w:lang w:eastAsia="ru-RU"/>
        </w:rPr>
        <w:t xml:space="preserve"> или компенсацию расходов на него;</w:t>
      </w:r>
    </w:p>
    <w:p w:rsidR="00E50FF8" w:rsidRPr="00E50FF8" w:rsidRDefault="00E50FF8" w:rsidP="00E50FF8">
      <w:pPr>
        <w:numPr>
          <w:ilvl w:val="0"/>
          <w:numId w:val="1"/>
        </w:numPr>
        <w:spacing w:before="150"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собаку-проводника и компенсацию содержания, ветеринарного обслуживания;</w:t>
      </w:r>
    </w:p>
    <w:p w:rsidR="00E50FF8" w:rsidRPr="00E50FF8" w:rsidRDefault="00E50FF8" w:rsidP="00E50FF8">
      <w:pPr>
        <w:numPr>
          <w:ilvl w:val="0"/>
          <w:numId w:val="1"/>
        </w:numPr>
        <w:spacing w:before="150"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компенсацию затрат на проезд к месту нахождения организации-поставщика ТСР. </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 xml:space="preserve">Что могут получить ветераны на </w:t>
      </w:r>
      <w:proofErr w:type="spellStart"/>
      <w:r w:rsidRPr="00E50FF8">
        <w:rPr>
          <w:rFonts w:ascii="Times New Roman" w:eastAsia="Times New Roman" w:hAnsi="Times New Roman" w:cs="Times New Roman"/>
          <w:color w:val="000000"/>
          <w:sz w:val="28"/>
          <w:szCs w:val="20"/>
          <w:lang w:eastAsia="ru-RU"/>
        </w:rPr>
        <w:t>Госуслугах</w:t>
      </w:r>
      <w:proofErr w:type="spellEnd"/>
      <w:r w:rsidRPr="00E50FF8">
        <w:rPr>
          <w:rFonts w:ascii="Times New Roman" w:eastAsia="Times New Roman" w:hAnsi="Times New Roman" w:cs="Times New Roman"/>
          <w:color w:val="000000"/>
          <w:sz w:val="28"/>
          <w:szCs w:val="20"/>
          <w:lang w:eastAsia="ru-RU"/>
        </w:rPr>
        <w:t>: </w:t>
      </w:r>
    </w:p>
    <w:p w:rsidR="00E50FF8" w:rsidRPr="00E50FF8" w:rsidRDefault="00E50FF8" w:rsidP="00E50FF8">
      <w:pPr>
        <w:numPr>
          <w:ilvl w:val="0"/>
          <w:numId w:val="2"/>
        </w:numPr>
        <w:spacing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деньги или компенсацию затрат на протезно-ортопедические изделия, кроме зубных протезов;</w:t>
      </w:r>
    </w:p>
    <w:p w:rsidR="00E50FF8" w:rsidRPr="00E50FF8" w:rsidRDefault="00E50FF8" w:rsidP="00E50FF8">
      <w:pPr>
        <w:numPr>
          <w:ilvl w:val="0"/>
          <w:numId w:val="2"/>
        </w:numPr>
        <w:spacing w:before="150"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электронный сертификат для приобретения изделия;</w:t>
      </w:r>
    </w:p>
    <w:p w:rsidR="00E50FF8" w:rsidRPr="00E50FF8" w:rsidRDefault="00E50FF8" w:rsidP="00E50FF8">
      <w:pPr>
        <w:numPr>
          <w:ilvl w:val="0"/>
          <w:numId w:val="2"/>
        </w:numPr>
        <w:spacing w:before="150" w:after="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компенсацию затрат на проезд к месту нахождения организации-поставщика изделия. </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 xml:space="preserve">Как получить ТСР через </w:t>
      </w:r>
      <w:proofErr w:type="spellStart"/>
      <w:r w:rsidRPr="00E50FF8">
        <w:rPr>
          <w:rFonts w:ascii="Times New Roman" w:eastAsia="Times New Roman" w:hAnsi="Times New Roman" w:cs="Times New Roman"/>
          <w:color w:val="000000"/>
          <w:sz w:val="28"/>
          <w:szCs w:val="20"/>
          <w:lang w:eastAsia="ru-RU"/>
        </w:rPr>
        <w:t>Госуслуги</w:t>
      </w:r>
      <w:proofErr w:type="spellEnd"/>
      <w:r w:rsidRPr="00E50FF8">
        <w:rPr>
          <w:rFonts w:ascii="Times New Roman" w:eastAsia="Times New Roman" w:hAnsi="Times New Roman" w:cs="Times New Roman"/>
          <w:color w:val="000000"/>
          <w:sz w:val="28"/>
          <w:szCs w:val="20"/>
          <w:lang w:eastAsia="ru-RU"/>
        </w:rPr>
        <w:t>? </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Воспользуйтесь услугой для оформления ТСР онлайн. Нужна подтвержденная учетная запись.</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Укажите подходящее основание для ТСР: ИПРА или заключение врачебной комиссии.</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Выберите цели или услуги и нажмите «Продолжить», перейдите к заявлению. Нужно ответить на вопросы и прикрепить документы. </w:t>
      </w:r>
    </w:p>
    <w:p w:rsidR="00E50FF8" w:rsidRPr="00E50FF8" w:rsidRDefault="00E50FF8" w:rsidP="00E50FF8">
      <w:pPr>
        <w:spacing w:before="240" w:after="240" w:line="168" w:lineRule="auto"/>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Срок принятия решения - до 30 календарных дней. Уведомление о результате придет в личный кабинет.</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hyperlink r:id="rId8" w:history="1">
        <w:r w:rsidRPr="00E50FF8">
          <w:rPr>
            <w:rFonts w:ascii="Times New Roman" w:eastAsia="Times New Roman" w:hAnsi="Times New Roman" w:cs="Times New Roman"/>
            <w:color w:val="0D0D0D"/>
            <w:sz w:val="28"/>
            <w:szCs w:val="20"/>
            <w:lang w:eastAsia="ru-RU"/>
          </w:rPr>
          <w:t>Особенности правового регулирования трудовых отношений с лицами, занятыми на сезонных работах</w:t>
        </w:r>
      </w:hyperlink>
      <w:r w:rsidRPr="00E50FF8">
        <w:rPr>
          <w:rFonts w:ascii="Times New Roman" w:eastAsia="Times New Roman" w:hAnsi="Times New Roman" w:cs="Times New Roman"/>
          <w:color w:val="0D0D0D"/>
          <w:sz w:val="28"/>
          <w:szCs w:val="20"/>
          <w:lang w:eastAsia="ru-RU"/>
        </w:rPr>
        <w:t>.</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В соответствии со статьей 293 Трудового кодекса Российской Федерации сезонными признаются работы, которые в силу климатических и иных природных условий выполняются в течение определенного периода (сезона), не превышающего шести месяцев.</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В настоящее время действует Перечень сезонных работ и сезонных отраслей промышленности, утвержденный Постановлением Совета Министров РСФСР от 04.07.1991 № 381.</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С работниками, которые поступают на сезонные работы, заключается трудовой договор, в котором обязательно должен быть указан сезонный характер поручаемой работы. В трудовом договоре должен быть указан срок работы, не превышающий продолжительности сезона (шести месяцев).</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Трудовой договор с сезонными работниками заключается в письменной форме, на его основании издается приказ или распоряжение работодателя о приеме на работу и производятся записи в кадровых документах, в том числе в трудовой книжке работника.</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Особый порядок предоставления отпусков сезонным работникам установлен ст. 295 Трудового кодекса Российской Федерации. Так, согласно указанной норме закона, работникам, занятым на сезонных работах, предоставляются оплачиваемые отпуска из расчета два рабочих дня за каждый месяц работы.</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На основании ст. 127 Трудового кодекса Российской Федерации сезонные работники могут использовать отпуск с последующим увольнением, за исключением случаев увольнения за виновные действия такого работника. Днём увольнения при этом считается последний день отпуска, даже если он выходит за пределы срока трудового договора.</w:t>
      </w:r>
    </w:p>
    <w:p w:rsidR="00E50FF8" w:rsidRPr="00E50FF8" w:rsidRDefault="00E50FF8" w:rsidP="00E50FF8">
      <w:pPr>
        <w:keepNext/>
        <w:spacing w:after="0" w:line="280" w:lineRule="exact"/>
        <w:ind w:firstLine="709"/>
        <w:jc w:val="both"/>
        <w:outlineLvl w:val="1"/>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t>Если сезонный работник не использовал отпуск, ему при увольнении положена к выплате денежная компенсация. На общих основаниях сезонные работники имеют право на пособие по временной нетрудоспособности.</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color w:val="333333"/>
          <w:sz w:val="24"/>
          <w:szCs w:val="20"/>
          <w:lang w:eastAsia="ru-RU"/>
        </w:rPr>
      </w:pPr>
      <w:r w:rsidRPr="00E50FF8">
        <w:rPr>
          <w:rFonts w:ascii="Times New Roman" w:eastAsia="Times New Roman" w:hAnsi="Times New Roman" w:cs="Times New Roman"/>
          <w:color w:val="333333"/>
          <w:sz w:val="28"/>
          <w:szCs w:val="20"/>
          <w:highlight w:val="white"/>
          <w:lang w:eastAsia="ru-RU"/>
        </w:rPr>
        <w:lastRenderedPageBreak/>
        <w:t>Принудительные работы - это вид наказания. Данный вид наказания представляет собой альтернативу лишению свободы и назначается на срок от 2 месяцев до 5 лет. Принудительные работы назначаются за совершение лицом преступлений небольшой или средней тяжести либо за совершение тяжкого преступления впервые в случаях, предусмотренных соответствующей статьей Особенной части Уголовного кодекса РФ.</w:t>
      </w:r>
    </w:p>
    <w:p w:rsidR="00E50FF8" w:rsidRPr="00E50FF8" w:rsidRDefault="00E50FF8" w:rsidP="00E50FF8">
      <w:pPr>
        <w:spacing w:after="0" w:line="240" w:lineRule="auto"/>
        <w:ind w:firstLine="709"/>
        <w:jc w:val="both"/>
        <w:rPr>
          <w:rFonts w:ascii="Times New Roman" w:eastAsia="Times New Roman" w:hAnsi="Times New Roman" w:cs="Times New Roman"/>
          <w:color w:val="333333"/>
          <w:sz w:val="24"/>
          <w:szCs w:val="20"/>
          <w:lang w:eastAsia="ru-RU"/>
        </w:rPr>
      </w:pPr>
      <w:r w:rsidRPr="00E50FF8">
        <w:rPr>
          <w:rFonts w:ascii="Times New Roman" w:eastAsia="Times New Roman" w:hAnsi="Times New Roman" w:cs="Times New Roman"/>
          <w:color w:val="333333"/>
          <w:sz w:val="28"/>
          <w:szCs w:val="20"/>
          <w:highlight w:val="white"/>
          <w:lang w:eastAsia="ru-RU"/>
        </w:rPr>
        <w:t>В соответствии с положениями пункта 7.1 части 1 статьи 299 УПК РФ при постановлении обвинительного приговора суд обязан разрешить вопрос о том, имеются ли основания для замены наказания в виде лишения свободы принудительными работами в случаях и порядке, установленных статьей 53.1 УК РФ.</w:t>
      </w:r>
    </w:p>
    <w:p w:rsidR="00E50FF8" w:rsidRPr="00E50FF8" w:rsidRDefault="00E50FF8" w:rsidP="00E50FF8">
      <w:pPr>
        <w:spacing w:after="0" w:line="240" w:lineRule="auto"/>
        <w:ind w:firstLine="709"/>
        <w:jc w:val="both"/>
        <w:rPr>
          <w:rFonts w:ascii="Times New Roman" w:eastAsia="Times New Roman" w:hAnsi="Times New Roman" w:cs="Times New Roman"/>
          <w:color w:val="333333"/>
          <w:sz w:val="24"/>
          <w:szCs w:val="20"/>
          <w:lang w:eastAsia="ru-RU"/>
        </w:rPr>
      </w:pPr>
      <w:r w:rsidRPr="00E50FF8">
        <w:rPr>
          <w:rFonts w:ascii="Times New Roman" w:eastAsia="Times New Roman" w:hAnsi="Times New Roman" w:cs="Times New Roman"/>
          <w:color w:val="333333"/>
          <w:sz w:val="28"/>
          <w:szCs w:val="20"/>
          <w:highlight w:val="white"/>
          <w:lang w:eastAsia="ru-RU"/>
        </w:rPr>
        <w:t>При наличии таких оснований суд должен привести мотивы, по которым пришел к выводу о возможности исправления осужденного без реального отбывания наказания в местах лишения свободы и применения положений статьи 53.1 УК РФ. Если суд придет к выводу о возможности применения принудительных работ как альтернативы лишению свободы к лицу, совершившему два и более преступления, то такое решение принимается за совершение каждого преступления, а не при определении окончательного наказания по совокупности преступлений.</w:t>
      </w:r>
    </w:p>
    <w:p w:rsidR="00E50FF8" w:rsidRPr="00E50FF8" w:rsidRDefault="00E50FF8" w:rsidP="00E50FF8">
      <w:pPr>
        <w:spacing w:after="0" w:line="240" w:lineRule="auto"/>
        <w:jc w:val="both"/>
        <w:rPr>
          <w:rFonts w:ascii="Times New Roman" w:eastAsia="Times New Roman" w:hAnsi="Times New Roman" w:cs="Times New Roman"/>
          <w:color w:val="333333"/>
          <w:sz w:val="24"/>
          <w:szCs w:val="20"/>
          <w:lang w:eastAsia="ru-RU"/>
        </w:rPr>
      </w:pPr>
      <w:r w:rsidRPr="00E50FF8">
        <w:rPr>
          <w:rFonts w:ascii="Times New Roman" w:eastAsia="Times New Roman" w:hAnsi="Times New Roman" w:cs="Times New Roman"/>
          <w:color w:val="333333"/>
          <w:sz w:val="28"/>
          <w:szCs w:val="20"/>
          <w:highlight w:val="white"/>
          <w:lang w:eastAsia="ru-RU"/>
        </w:rPr>
        <w:t>При исчислении сроков погашения судимости в отношении лиц, которым назначено наказание в виде принудительных работ в качестве альтернативы лишению свободы в соответствии со статьей 53.1 УК РФ, необходимо руководствоваться положениями пункта «б» части 3 статьи 86 УК РФ о погашении судимости по истечении одного года после отбытия наказания.</w:t>
      </w:r>
    </w:p>
    <w:p w:rsidR="00E50FF8" w:rsidRPr="00E50FF8" w:rsidRDefault="00E50FF8" w:rsidP="00E50FF8">
      <w:pPr>
        <w:keepNext/>
        <w:spacing w:after="0" w:line="216" w:lineRule="auto"/>
        <w:ind w:firstLine="709"/>
        <w:jc w:val="both"/>
        <w:outlineLvl w:val="0"/>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333333"/>
          <w:sz w:val="28"/>
          <w:szCs w:val="20"/>
          <w:highlight w:val="white"/>
          <w:lang w:eastAsia="ru-RU"/>
        </w:rPr>
        <w:t xml:space="preserve">При замене наказания в случае злостного уклонения от его отбывания в порядке исполнения приговора, предусмотренном пунктом 2 статьи 397 УПК РФ, штраф, обязательные работы, исправительные работы, ограничение свободы заменяются принудительными работами без предварительной замены лишением свободы. Принудительные работы могут быть также применены при замене </w:t>
      </w:r>
      <w:proofErr w:type="spellStart"/>
      <w:r w:rsidRPr="00E50FF8">
        <w:rPr>
          <w:rFonts w:ascii="Times New Roman" w:eastAsia="Times New Roman" w:hAnsi="Times New Roman" w:cs="Times New Roman"/>
          <w:color w:val="333333"/>
          <w:sz w:val="28"/>
          <w:szCs w:val="20"/>
          <w:highlight w:val="white"/>
          <w:lang w:eastAsia="ru-RU"/>
        </w:rPr>
        <w:t>неотбытой</w:t>
      </w:r>
      <w:proofErr w:type="spellEnd"/>
      <w:r w:rsidRPr="00E50FF8">
        <w:rPr>
          <w:rFonts w:ascii="Times New Roman" w:eastAsia="Times New Roman" w:hAnsi="Times New Roman" w:cs="Times New Roman"/>
          <w:color w:val="333333"/>
          <w:sz w:val="28"/>
          <w:szCs w:val="20"/>
          <w:highlight w:val="white"/>
          <w:lang w:eastAsia="ru-RU"/>
        </w:rPr>
        <w:t xml:space="preserve"> части наказания в виде лишения свободы (статья 80 УК РФ).</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color w:val="0D0D0D"/>
          <w:sz w:val="28"/>
          <w:szCs w:val="20"/>
          <w:lang w:eastAsia="ru-RU"/>
        </w:rPr>
      </w:pPr>
      <w:r w:rsidRPr="00E50FF8">
        <w:rPr>
          <w:rFonts w:ascii="Times New Roman" w:eastAsia="Times New Roman" w:hAnsi="Times New Roman" w:cs="Times New Roman"/>
          <w:color w:val="0D0D0D"/>
          <w:sz w:val="28"/>
          <w:szCs w:val="20"/>
          <w:lang w:eastAsia="ru-RU"/>
        </w:rPr>
        <w:lastRenderedPageBreak/>
        <w:t xml:space="preserve">Прокуратура района информирует </w:t>
      </w:r>
      <w:hyperlink r:id="rId9" w:history="1">
        <w:r w:rsidRPr="00E50FF8">
          <w:rPr>
            <w:rFonts w:ascii="Times New Roman" w:eastAsia="Times New Roman" w:hAnsi="Times New Roman" w:cs="Times New Roman"/>
            <w:color w:val="000000"/>
            <w:sz w:val="28"/>
            <w:szCs w:val="20"/>
            <w:lang w:eastAsia="ru-RU"/>
          </w:rPr>
          <w:t>об уголовной ответственности за вовлечение несовершеннолетнего в совершение преступления</w:t>
        </w:r>
      </w:hyperlink>
    </w:p>
    <w:p w:rsidR="00E50FF8" w:rsidRPr="00E50FF8" w:rsidRDefault="00E50FF8" w:rsidP="00E50FF8">
      <w:pPr>
        <w:spacing w:before="240" w:after="240" w:line="240" w:lineRule="auto"/>
        <w:ind w:firstLine="708"/>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Статьей 150 Уголовного кодекса Российской Федерации предусмотрена уголовная ответственность за вовлечение несовершеннолетнего в совершение преступления.</w:t>
      </w:r>
    </w:p>
    <w:p w:rsidR="00E50FF8" w:rsidRPr="00E50FF8" w:rsidRDefault="00E50FF8" w:rsidP="00E50FF8">
      <w:pPr>
        <w:spacing w:before="240" w:after="240" w:line="240" w:lineRule="auto"/>
        <w:ind w:firstLine="708"/>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Под вовлечением несовершеннолетнего в совершение преступления следует понимать действия взрослого лица, направленные на возбуждение желания совершить преступление. Действия взрослого лица могут выражаться как в форме обещаний, обмана и угроз, так и в форме иных действий (к примеру, в форме предложения совершить преступление, разжигания чувства зависти, мести).</w:t>
      </w:r>
    </w:p>
    <w:p w:rsidR="00E50FF8" w:rsidRPr="00E50FF8" w:rsidRDefault="00E50FF8" w:rsidP="00E50FF8">
      <w:pPr>
        <w:spacing w:before="240" w:after="240" w:line="240" w:lineRule="auto"/>
        <w:ind w:firstLine="708"/>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Вовлечение окончено с момента совершения несовершеннолетним лицом преступления, приготовления или покушения на него.</w:t>
      </w:r>
    </w:p>
    <w:p w:rsidR="00E50FF8" w:rsidRPr="00E50FF8" w:rsidRDefault="00E50FF8" w:rsidP="00E50FF8">
      <w:pPr>
        <w:spacing w:before="240" w:after="240" w:line="240" w:lineRule="auto"/>
        <w:ind w:firstLine="708"/>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Субъектом преступления является лицо, достигшее восемнадцатилетнего возраста. При этом лицо должно осознавать, что своими действиями вовлекает несовершеннолетнего в совершение преступления.</w:t>
      </w:r>
    </w:p>
    <w:p w:rsidR="00E50FF8" w:rsidRPr="00E50FF8" w:rsidRDefault="00E50FF8" w:rsidP="00E50FF8">
      <w:pPr>
        <w:spacing w:before="240" w:after="240" w:line="240" w:lineRule="auto"/>
        <w:ind w:firstLine="708"/>
        <w:jc w:val="both"/>
        <w:rPr>
          <w:rFonts w:ascii="Times New Roman" w:eastAsia="Times New Roman" w:hAnsi="Times New Roman" w:cs="Times New Roman"/>
          <w:color w:val="000000"/>
          <w:sz w:val="28"/>
          <w:szCs w:val="20"/>
          <w:lang w:eastAsia="ru-RU"/>
        </w:rPr>
      </w:pPr>
      <w:r w:rsidRPr="00E50FF8">
        <w:rPr>
          <w:rFonts w:ascii="Times New Roman" w:eastAsia="Times New Roman" w:hAnsi="Times New Roman" w:cs="Times New Roman"/>
          <w:color w:val="000000"/>
          <w:sz w:val="28"/>
          <w:szCs w:val="20"/>
          <w:lang w:eastAsia="ru-RU"/>
        </w:rPr>
        <w:t>Частью 2 статьи 150 УК РФ предусмотрена уголовная ответственность за вовлечение несовершеннолетнего в совершение преступления, совершенное родителями, педагогическими работниками и иными лицами, на которых законом возложена обязанность по воспитанию несовершеннолетнего. К иным лицам, ответственным за воспитание, следует относить медицинских, социальных работников, психологов и других специалистов.</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lastRenderedPageBreak/>
        <w:t>Согласно ст. 121 Федерального закона № 229-ФЗ «Об исполнительном производстве» постановления Федеральной службы судебных приставов, а также постановления судебного пристава-исполнителя и других должностных лиц службы судебных приставов, их действия (бездействие) по исполнению исполнительного документа могут быть обжалованы сторонами исполнительного производства, иными лицами, чьи права и интересы нарушены такими действиями (бездействием), в порядке подчиненности и оспорены в суде.</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Требования об оспаривании постановлений, действий (бездействия) судебных приставов-исполнителей и иных должностных лиц Федеральной службы судебных приставов рассматриваются в порядке, предусмотренном главой 22 Кодекса административного судопроизводства РФ, и в порядке, предусмотренном главой 24 Арбитражного процессуального кодекса РФ.</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Жалоба на постановление Федеральной службы судебных приставов, а также на постановление должностного лица службы судебных приставов, его действия (бездействие) подается в течение десяти дней со дня вынесения Федеральной службой судебных приставов, судебным приставом-исполнителем или иным должностным лицом постановления, совершения действия, установления факта его бездействия либо отказа в отводе. Лицом, не извещенным о времени и месте совершения действий, жалоба подается в течение десяти дней со дня, когда это лицо узнало или должно было узнать о вынесении постановления, совершении действий (бездействии).</w:t>
      </w:r>
    </w:p>
    <w:p w:rsidR="00E50FF8" w:rsidRPr="00E50FF8" w:rsidRDefault="00E50FF8" w:rsidP="00E50FF8">
      <w:pPr>
        <w:spacing w:after="0" w:line="240" w:lineRule="auto"/>
        <w:ind w:firstLine="709"/>
        <w:jc w:val="both"/>
        <w:rPr>
          <w:rFonts w:ascii="Times New Roman" w:eastAsia="Times New Roman" w:hAnsi="Times New Roman" w:cs="Times New Roman"/>
          <w:b/>
          <w:color w:val="0D0D0D"/>
          <w:sz w:val="28"/>
          <w:szCs w:val="20"/>
          <w:lang w:eastAsia="ru-RU"/>
        </w:rPr>
      </w:pPr>
      <w:r w:rsidRPr="00E50FF8">
        <w:rPr>
          <w:rFonts w:ascii="Times New Roman" w:eastAsia="Times New Roman" w:hAnsi="Times New Roman" w:cs="Times New Roman"/>
          <w:color w:val="000000"/>
          <w:sz w:val="28"/>
          <w:szCs w:val="20"/>
          <w:lang w:eastAsia="ru-RU"/>
        </w:rPr>
        <w:t>Кроме того, жалоба на действия или бездействие должностных лиц службы судебных приставов может быть подана непосредственно вышестоящему должностному лицу ФССП: на судебного пристава-исполнителя – начальнику отделения судебных приставов-исполнителей, на начальника отделения – руководителю органов ФССП по субъекту и т.д., а также непосредственно в органы прокуратуры.</w:t>
      </w: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bookmarkStart w:id="0" w:name="_GoBack"/>
      <w:bookmarkEnd w:id="0"/>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E50FF8" w:rsidRPr="00E50FF8" w:rsidRDefault="00E50FF8" w:rsidP="00E50FF8">
      <w:pPr>
        <w:spacing w:after="0" w:line="240" w:lineRule="auto"/>
        <w:ind w:firstLine="709"/>
        <w:jc w:val="both"/>
        <w:rPr>
          <w:rFonts w:ascii="Times New Roman" w:eastAsia="Times New Roman" w:hAnsi="Times New Roman" w:cs="Times New Roman"/>
          <w:b/>
          <w:color w:val="333333"/>
          <w:sz w:val="28"/>
          <w:szCs w:val="20"/>
          <w:highlight w:val="white"/>
          <w:lang w:eastAsia="ru-RU"/>
        </w:rPr>
      </w:pPr>
    </w:p>
    <w:p w:rsidR="00800997" w:rsidRDefault="00E50FF8"/>
    <w:sectPr w:rsidR="0080099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37B68"/>
    <w:multiLevelType w:val="multilevel"/>
    <w:tmpl w:val="4692C026"/>
    <w:lvl w:ilvl="0">
      <w:start w:val="1"/>
      <w:numFmt w:val="bullet"/>
      <w:lvlText w:val=""/>
      <w:lvlJc w:val="left"/>
      <w:pPr>
        <w:widowControl/>
        <w:tabs>
          <w:tab w:val="left" w:pos="720"/>
        </w:tabs>
        <w:ind w:left="720" w:hanging="360"/>
      </w:pPr>
      <w:rPr>
        <w:rFonts w:ascii="Symbol" w:hAnsi="Symbol"/>
        <w:sz w:val="20"/>
      </w:rPr>
    </w:lvl>
    <w:lvl w:ilvl="1">
      <w:start w:val="1"/>
      <w:numFmt w:val="bullet"/>
      <w:lvlText w:val="o"/>
      <w:lvlJc w:val="left"/>
      <w:pPr>
        <w:widowControl/>
        <w:tabs>
          <w:tab w:val="left" w:pos="1440"/>
        </w:tabs>
        <w:ind w:left="1440" w:hanging="360"/>
      </w:pPr>
      <w:rPr>
        <w:rFonts w:ascii="Courier New" w:hAnsi="Courier New"/>
        <w:sz w:val="20"/>
      </w:rPr>
    </w:lvl>
    <w:lvl w:ilvl="2">
      <w:start w:val="1"/>
      <w:numFmt w:val="bullet"/>
      <w:lvlText w:val=""/>
      <w:lvlJc w:val="left"/>
      <w:pPr>
        <w:widowControl/>
        <w:tabs>
          <w:tab w:val="left" w:pos="2160"/>
        </w:tabs>
        <w:ind w:left="2160" w:hanging="360"/>
      </w:pPr>
      <w:rPr>
        <w:rFonts w:ascii="Wingdings" w:hAnsi="Wingdings"/>
        <w:sz w:val="20"/>
      </w:rPr>
    </w:lvl>
    <w:lvl w:ilvl="3">
      <w:start w:val="1"/>
      <w:numFmt w:val="bullet"/>
      <w:lvlText w:val=""/>
      <w:lvlJc w:val="left"/>
      <w:pPr>
        <w:widowControl/>
        <w:tabs>
          <w:tab w:val="left" w:pos="2880"/>
        </w:tabs>
        <w:ind w:left="2880" w:hanging="360"/>
      </w:pPr>
      <w:rPr>
        <w:rFonts w:ascii="Wingdings" w:hAnsi="Wingdings"/>
        <w:sz w:val="20"/>
      </w:rPr>
    </w:lvl>
    <w:lvl w:ilvl="4">
      <w:start w:val="1"/>
      <w:numFmt w:val="bullet"/>
      <w:lvlText w:val=""/>
      <w:lvlJc w:val="left"/>
      <w:pPr>
        <w:widowControl/>
        <w:tabs>
          <w:tab w:val="left" w:pos="3600"/>
        </w:tabs>
        <w:ind w:left="3600" w:hanging="360"/>
      </w:pPr>
      <w:rPr>
        <w:rFonts w:ascii="Wingdings" w:hAnsi="Wingdings"/>
        <w:sz w:val="20"/>
      </w:rPr>
    </w:lvl>
    <w:lvl w:ilvl="5">
      <w:start w:val="1"/>
      <w:numFmt w:val="bullet"/>
      <w:lvlText w:val=""/>
      <w:lvlJc w:val="left"/>
      <w:pPr>
        <w:widowControl/>
        <w:tabs>
          <w:tab w:val="left" w:pos="4320"/>
        </w:tabs>
        <w:ind w:left="4320" w:hanging="360"/>
      </w:pPr>
      <w:rPr>
        <w:rFonts w:ascii="Wingdings" w:hAnsi="Wingdings"/>
        <w:sz w:val="20"/>
      </w:rPr>
    </w:lvl>
    <w:lvl w:ilvl="6">
      <w:start w:val="1"/>
      <w:numFmt w:val="bullet"/>
      <w:lvlText w:val=""/>
      <w:lvlJc w:val="left"/>
      <w:pPr>
        <w:widowControl/>
        <w:tabs>
          <w:tab w:val="left" w:pos="5040"/>
        </w:tabs>
        <w:ind w:left="5040" w:hanging="360"/>
      </w:pPr>
      <w:rPr>
        <w:rFonts w:ascii="Wingdings" w:hAnsi="Wingdings"/>
        <w:sz w:val="20"/>
      </w:rPr>
    </w:lvl>
    <w:lvl w:ilvl="7">
      <w:start w:val="1"/>
      <w:numFmt w:val="bullet"/>
      <w:lvlText w:val=""/>
      <w:lvlJc w:val="left"/>
      <w:pPr>
        <w:widowControl/>
        <w:tabs>
          <w:tab w:val="left" w:pos="5760"/>
        </w:tabs>
        <w:ind w:left="5760" w:hanging="360"/>
      </w:pPr>
      <w:rPr>
        <w:rFonts w:ascii="Wingdings" w:hAnsi="Wingdings"/>
        <w:sz w:val="20"/>
      </w:rPr>
    </w:lvl>
    <w:lvl w:ilvl="8">
      <w:start w:val="1"/>
      <w:numFmt w:val="bullet"/>
      <w:lvlText w:val=""/>
      <w:lvlJc w:val="left"/>
      <w:pPr>
        <w:widowControl/>
        <w:tabs>
          <w:tab w:val="left" w:pos="6480"/>
        </w:tabs>
        <w:ind w:left="6480" w:hanging="360"/>
      </w:pPr>
      <w:rPr>
        <w:rFonts w:ascii="Wingdings" w:hAnsi="Wingdings"/>
        <w:sz w:val="20"/>
      </w:rPr>
    </w:lvl>
  </w:abstractNum>
  <w:abstractNum w:abstractNumId="1" w15:restartNumberingAfterBreak="0">
    <w:nsid w:val="10A824BF"/>
    <w:multiLevelType w:val="multilevel"/>
    <w:tmpl w:val="EC1A300E"/>
    <w:lvl w:ilvl="0">
      <w:start w:val="1"/>
      <w:numFmt w:val="bullet"/>
      <w:lvlText w:val=""/>
      <w:lvlJc w:val="left"/>
      <w:pPr>
        <w:widowControl/>
        <w:tabs>
          <w:tab w:val="left" w:pos="720"/>
        </w:tabs>
        <w:ind w:left="720" w:hanging="360"/>
      </w:pPr>
      <w:rPr>
        <w:rFonts w:ascii="Symbol" w:hAnsi="Symbol"/>
        <w:sz w:val="20"/>
      </w:rPr>
    </w:lvl>
    <w:lvl w:ilvl="1">
      <w:start w:val="1"/>
      <w:numFmt w:val="bullet"/>
      <w:lvlText w:val="o"/>
      <w:lvlJc w:val="left"/>
      <w:pPr>
        <w:widowControl/>
        <w:tabs>
          <w:tab w:val="left" w:pos="1440"/>
        </w:tabs>
        <w:ind w:left="1440" w:hanging="360"/>
      </w:pPr>
      <w:rPr>
        <w:rFonts w:ascii="Courier New" w:hAnsi="Courier New"/>
        <w:sz w:val="20"/>
      </w:rPr>
    </w:lvl>
    <w:lvl w:ilvl="2">
      <w:start w:val="1"/>
      <w:numFmt w:val="bullet"/>
      <w:lvlText w:val=""/>
      <w:lvlJc w:val="left"/>
      <w:pPr>
        <w:widowControl/>
        <w:tabs>
          <w:tab w:val="left" w:pos="2160"/>
        </w:tabs>
        <w:ind w:left="2160" w:hanging="360"/>
      </w:pPr>
      <w:rPr>
        <w:rFonts w:ascii="Wingdings" w:hAnsi="Wingdings"/>
        <w:sz w:val="20"/>
      </w:rPr>
    </w:lvl>
    <w:lvl w:ilvl="3">
      <w:start w:val="1"/>
      <w:numFmt w:val="bullet"/>
      <w:lvlText w:val=""/>
      <w:lvlJc w:val="left"/>
      <w:pPr>
        <w:widowControl/>
        <w:tabs>
          <w:tab w:val="left" w:pos="2880"/>
        </w:tabs>
        <w:ind w:left="2880" w:hanging="360"/>
      </w:pPr>
      <w:rPr>
        <w:rFonts w:ascii="Wingdings" w:hAnsi="Wingdings"/>
        <w:sz w:val="20"/>
      </w:rPr>
    </w:lvl>
    <w:lvl w:ilvl="4">
      <w:start w:val="1"/>
      <w:numFmt w:val="bullet"/>
      <w:lvlText w:val=""/>
      <w:lvlJc w:val="left"/>
      <w:pPr>
        <w:widowControl/>
        <w:tabs>
          <w:tab w:val="left" w:pos="3600"/>
        </w:tabs>
        <w:ind w:left="3600" w:hanging="360"/>
      </w:pPr>
      <w:rPr>
        <w:rFonts w:ascii="Wingdings" w:hAnsi="Wingdings"/>
        <w:sz w:val="20"/>
      </w:rPr>
    </w:lvl>
    <w:lvl w:ilvl="5">
      <w:start w:val="1"/>
      <w:numFmt w:val="bullet"/>
      <w:lvlText w:val=""/>
      <w:lvlJc w:val="left"/>
      <w:pPr>
        <w:widowControl/>
        <w:tabs>
          <w:tab w:val="left" w:pos="4320"/>
        </w:tabs>
        <w:ind w:left="4320" w:hanging="360"/>
      </w:pPr>
      <w:rPr>
        <w:rFonts w:ascii="Wingdings" w:hAnsi="Wingdings"/>
        <w:sz w:val="20"/>
      </w:rPr>
    </w:lvl>
    <w:lvl w:ilvl="6">
      <w:start w:val="1"/>
      <w:numFmt w:val="bullet"/>
      <w:lvlText w:val=""/>
      <w:lvlJc w:val="left"/>
      <w:pPr>
        <w:widowControl/>
        <w:tabs>
          <w:tab w:val="left" w:pos="5040"/>
        </w:tabs>
        <w:ind w:left="5040" w:hanging="360"/>
      </w:pPr>
      <w:rPr>
        <w:rFonts w:ascii="Wingdings" w:hAnsi="Wingdings"/>
        <w:sz w:val="20"/>
      </w:rPr>
    </w:lvl>
    <w:lvl w:ilvl="7">
      <w:start w:val="1"/>
      <w:numFmt w:val="bullet"/>
      <w:lvlText w:val=""/>
      <w:lvlJc w:val="left"/>
      <w:pPr>
        <w:widowControl/>
        <w:tabs>
          <w:tab w:val="left" w:pos="5760"/>
        </w:tabs>
        <w:ind w:left="5760" w:hanging="360"/>
      </w:pPr>
      <w:rPr>
        <w:rFonts w:ascii="Wingdings" w:hAnsi="Wingdings"/>
        <w:sz w:val="20"/>
      </w:rPr>
    </w:lvl>
    <w:lvl w:ilvl="8">
      <w:start w:val="1"/>
      <w:numFmt w:val="bullet"/>
      <w:lvlText w:val=""/>
      <w:lvlJc w:val="left"/>
      <w:pPr>
        <w:widowControl/>
        <w:tabs>
          <w:tab w:val="left" w:pos="6480"/>
        </w:tabs>
        <w:ind w:left="6480" w:hanging="360"/>
      </w:pPr>
      <w:rPr>
        <w:rFonts w:ascii="Wingdings" w:hAnsi="Wingdings"/>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D0D"/>
    <w:rsid w:val="00442D0D"/>
    <w:rsid w:val="006E4DCE"/>
    <w:rsid w:val="008737C9"/>
    <w:rsid w:val="00AE6C98"/>
    <w:rsid w:val="00E50FF8"/>
    <w:rsid w:val="00E80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AA18B5-0596-4384-A10A-8FEC523C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zyorsk.ru/osobennosti-pravovogo-regulirovaniya-trudovyh-otnoshenij-s-liczami-zanyatymi-na-sezonnyh-rabotah/" TargetMode="External"/><Relationship Id="rId3" Type="http://schemas.openxmlformats.org/officeDocument/2006/relationships/settings" Target="settings.xml"/><Relationship Id="rId7" Type="http://schemas.openxmlformats.org/officeDocument/2006/relationships/hyperlink" Target="https://admtyumen.ru/ogv_ru/block/actuals/prokur_explain/more.htm?id=11980319@cmsArticl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admtyumen.ru/ogv_ru/block/actuals/prokur_explain/more.htm?id=11980320@cmsArticle" TargetMode="External"/><Relationship Id="rId11" Type="http://schemas.openxmlformats.org/officeDocument/2006/relationships/theme" Target="theme/theme1.xml"/><Relationship Id="rId5" Type="http://schemas.openxmlformats.org/officeDocument/2006/relationships/hyperlink" Target="https://admtyumen.ru/ogv_ru/block/actuals/prokur_explain/more.htm?id=11980210@cmsArticl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admtyumen.ru/ogv_ru/block/actuals/prokur_explain/more.htm?id=11981277@cmsArticl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9</Pages>
  <Words>2045</Words>
  <Characters>11658</Characters>
  <Application>Microsoft Office Word</Application>
  <DocSecurity>0</DocSecurity>
  <Lines>97</Lines>
  <Paragraphs>27</Paragraphs>
  <ScaleCrop>false</ScaleCrop>
  <Company/>
  <LinksUpToDate>false</LinksUpToDate>
  <CharactersWithSpaces>13676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Савочкина</dc:creator>
  <cp:keywords/>
  <dc:description/>
  <cp:lastModifiedBy>Людмила Савочкина</cp:lastModifiedBy>
  <cp:revision>2</cp:revision>
  <dcterms:created xsi:type="dcterms:W3CDTF">2026-04-14T06:16:00Z</dcterms:created>
  <dcterms:modified xsi:type="dcterms:W3CDTF">2026-04-14T06:18:00Z</dcterms:modified>
</cp:coreProperties>
</file>